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BB94A27"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480071">
        <w:rPr>
          <w:rFonts w:asciiTheme="minorHAnsi" w:hAnsiTheme="minorHAnsi" w:cstheme="minorHAnsi"/>
          <w:b/>
          <w:bCs/>
          <w:sz w:val="24"/>
          <w:szCs w:val="24"/>
        </w:rPr>
        <w:t xml:space="preserve">au CCAP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480071"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480071"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480071"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480071"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480071"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480071"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480071"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480071"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480071"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480071"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480071"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480071"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480071"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480071"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480071"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480071"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480071"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480071"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480071"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480071"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480071"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480071"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480071"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480071"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480071"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480071"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480071"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 xml:space="preserve">annexe III pour assurer la sécurité des données à caractère personnel. Figure parmi ces mesures la protection des données contre toute violation </w:t>
      </w:r>
      <w:proofErr w:type="gramStart"/>
      <w:r w:rsidRPr="00452029">
        <w:rPr>
          <w:rFonts w:cstheme="minorHAnsi"/>
          <w:sz w:val="20"/>
          <w:szCs w:val="20"/>
        </w:rPr>
        <w:t>de la sécurité entraînant</w:t>
      </w:r>
      <w:proofErr w:type="gramEnd"/>
      <w:r w:rsidRPr="00452029">
        <w:rPr>
          <w:rFonts w:cstheme="minorHAnsi"/>
          <w:sz w:val="20"/>
          <w:szCs w:val="20"/>
        </w:rPr>
        <w: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3041F97E" w:rsidR="006F5157" w:rsidRPr="00452029" w:rsidRDefault="003E5569" w:rsidP="00452029">
      <w:pPr>
        <w:pStyle w:val="Paragraphedeliste"/>
        <w:numPr>
          <w:ilvl w:val="0"/>
          <w:numId w:val="12"/>
        </w:numPr>
        <w:spacing w:after="0"/>
        <w:jc w:val="both"/>
        <w:rPr>
          <w:rFonts w:cstheme="minorHAnsi"/>
          <w:sz w:val="20"/>
          <w:szCs w:val="20"/>
        </w:rPr>
      </w:pPr>
      <w:r w:rsidRPr="00452029">
        <w:rPr>
          <w:rFonts w:cstheme="minorHAnsi"/>
          <w:sz w:val="20"/>
          <w:szCs w:val="20"/>
          <w:highlight w:val="cyan"/>
        </w:rPr>
        <w:t>OPTION 1</w:t>
      </w:r>
      <w:r w:rsidR="009C7B1A" w:rsidRPr="00452029">
        <w:rPr>
          <w:rFonts w:cstheme="minorHAnsi"/>
          <w:sz w:val="20"/>
          <w:szCs w:val="20"/>
          <w:highlight w:val="cyan"/>
        </w:rPr>
        <w:t> : AUTORISATION SPECIFIQUE PREALABLE</w:t>
      </w:r>
      <w:r w:rsidR="007D4E92">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567837" w:rsidRPr="00452029">
        <w:rPr>
          <w:rFonts w:cstheme="minorHAnsi"/>
          <w:sz w:val="20"/>
          <w:szCs w:val="20"/>
        </w:rPr>
        <w:t>[</w:t>
      </w:r>
      <w:r w:rsidR="003960FC">
        <w:rPr>
          <w:rFonts w:cstheme="minorHAnsi"/>
          <w:sz w:val="20"/>
          <w:szCs w:val="20"/>
          <w:highlight w:val="yellow"/>
        </w:rPr>
        <w:t>deux</w:t>
      </w:r>
      <w:r w:rsidR="008E41AC" w:rsidRPr="00452029">
        <w:rPr>
          <w:rFonts w:cstheme="minorHAnsi"/>
          <w:sz w:val="20"/>
          <w:szCs w:val="20"/>
          <w:highlight w:val="yellow"/>
        </w:rPr>
        <w:t xml:space="preserve"> </w:t>
      </w:r>
      <w:r w:rsidR="006D489D" w:rsidRPr="00452029">
        <w:rPr>
          <w:rFonts w:cstheme="minorHAnsi"/>
          <w:sz w:val="20"/>
          <w:szCs w:val="20"/>
          <w:highlight w:val="yellow"/>
        </w:rPr>
        <w:t>mois</w:t>
      </w:r>
      <w:r w:rsidR="00567837" w:rsidRPr="00452029">
        <w:rPr>
          <w:rFonts w:cstheme="minorHAnsi"/>
          <w:sz w:val="20"/>
          <w:szCs w:val="20"/>
        </w:rPr>
        <w:t>]</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EBB873C" w14:textId="1BA8C43D" w:rsidR="004243C7" w:rsidRPr="00452029" w:rsidRDefault="003E5569" w:rsidP="00452029">
      <w:pPr>
        <w:pStyle w:val="Paragraphedeliste"/>
        <w:spacing w:after="0"/>
        <w:jc w:val="both"/>
        <w:rPr>
          <w:rFonts w:cstheme="minorHAnsi"/>
          <w:sz w:val="20"/>
          <w:szCs w:val="20"/>
        </w:rPr>
      </w:pPr>
      <w:r w:rsidRPr="00452029">
        <w:rPr>
          <w:rFonts w:cstheme="minorHAnsi"/>
          <w:sz w:val="20"/>
          <w:szCs w:val="20"/>
          <w:highlight w:val="cyan"/>
        </w:rPr>
        <w:t>OPTION 2</w:t>
      </w:r>
      <w:r w:rsidR="009C7B1A" w:rsidRPr="00452029">
        <w:rPr>
          <w:rFonts w:cstheme="minorHAnsi"/>
          <w:sz w:val="20"/>
          <w:szCs w:val="20"/>
          <w:highlight w:val="cyan"/>
        </w:rPr>
        <w:t> : AUTORISATION ECRITE GENERALE</w:t>
      </w:r>
      <w:r w:rsidR="00567837" w:rsidRPr="00452029">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Le sous-traitant dispose de l’autorisation générale du responsable du traitement pour ce qui est du recrutement de sous-traitants ultérieurs sur la base d’une liste convenue</w:t>
      </w:r>
      <w:r w:rsidR="00661DFC">
        <w:rPr>
          <w:rFonts w:cstheme="minorHAnsi"/>
          <w:sz w:val="20"/>
          <w:szCs w:val="20"/>
        </w:rPr>
        <w:t xml:space="preserve"> (cf. annexe IV)</w:t>
      </w:r>
      <w:r w:rsidRPr="00452029">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452029">
        <w:rPr>
          <w:rFonts w:cstheme="minorHAnsi"/>
          <w:sz w:val="20"/>
          <w:szCs w:val="20"/>
        </w:rPr>
        <w:t>[</w:t>
      </w:r>
      <w:r w:rsidR="00FA780B">
        <w:rPr>
          <w:rFonts w:cstheme="minorHAnsi"/>
          <w:sz w:val="20"/>
          <w:szCs w:val="20"/>
          <w:highlight w:val="yellow"/>
        </w:rPr>
        <w:t>deux</w:t>
      </w:r>
      <w:r w:rsidR="008E41AC" w:rsidRPr="00452029">
        <w:rPr>
          <w:rFonts w:cstheme="minorHAnsi"/>
          <w:sz w:val="20"/>
          <w:szCs w:val="20"/>
          <w:highlight w:val="yellow"/>
        </w:rPr>
        <w:t xml:space="preserve"> </w:t>
      </w:r>
      <w:r w:rsidRPr="00452029">
        <w:rPr>
          <w:rFonts w:cstheme="minorHAnsi"/>
          <w:sz w:val="20"/>
          <w:szCs w:val="20"/>
          <w:highlight w:val="yellow"/>
        </w:rPr>
        <w:t>mois</w:t>
      </w:r>
      <w:r w:rsidR="00567837" w:rsidRPr="00452029">
        <w:rPr>
          <w:rFonts w:cstheme="minorHAnsi"/>
          <w:sz w:val="20"/>
          <w:szCs w:val="20"/>
        </w:rPr>
        <w:t>]</w:t>
      </w:r>
      <w:r w:rsidRPr="00452029">
        <w:rPr>
          <w:rFonts w:cstheme="minorHAnsi"/>
          <w:sz w:val="20"/>
          <w:szCs w:val="20"/>
        </w:rP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 xml:space="preserve">un contrat qui impose au sous-traitant ultérieur, en substance, les mêmes obligations en matière de protection des données </w:t>
      </w:r>
      <w:r w:rsidRPr="00452029">
        <w:rPr>
          <w:rFonts w:cstheme="minorHAnsi"/>
          <w:sz w:val="20"/>
          <w:szCs w:val="20"/>
        </w:rPr>
        <w:lastRenderedPageBreak/>
        <w:t>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 xml:space="preserve">impact relative à la protection des données </w:t>
      </w:r>
      <w:r w:rsidRPr="00452029">
        <w:rPr>
          <w:rFonts w:cstheme="minorHAnsi"/>
          <w:sz w:val="20"/>
          <w:szCs w:val="20"/>
        </w:rPr>
        <w:lastRenderedPageBreak/>
        <w:t>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lastRenderedPageBreak/>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66FADB83"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0079572C">
        <w:rPr>
          <w:rFonts w:cstheme="minorHAnsi"/>
          <w:sz w:val="20"/>
          <w:szCs w:val="20"/>
          <w:u w:val="single"/>
        </w:rPr>
        <w:t xml:space="preserve"> (RDCP)</w:t>
      </w:r>
      <w:r>
        <w:rPr>
          <w:rFonts w:cstheme="minorHAnsi"/>
          <w:sz w:val="20"/>
          <w:szCs w:val="20"/>
        </w:rPr>
        <w:t xml:space="preserve"> : </w:t>
      </w:r>
    </w:p>
    <w:p w14:paraId="1D952655" w14:textId="4D326DA3" w:rsidR="000E0248" w:rsidRPr="0026784E" w:rsidRDefault="000E0248" w:rsidP="00BB79F6">
      <w:pPr>
        <w:pStyle w:val="Paragraphedeliste"/>
        <w:jc w:val="both"/>
      </w:pPr>
      <w:r>
        <w:rPr>
          <w:rFonts w:cstheme="minorHAnsi"/>
          <w:sz w:val="20"/>
          <w:szCs w:val="20"/>
        </w:rPr>
        <w:t>[</w:t>
      </w:r>
      <w:r w:rsidRPr="0026784E">
        <w:rPr>
          <w:highlight w:val="yellow"/>
        </w:rPr>
        <w:t>…</w:t>
      </w:r>
      <w:r>
        <w:t>]</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480071" w:rsidP="000272D9">
      <w:pPr>
        <w:pStyle w:val="Paragraphedeliste"/>
        <w:rPr>
          <w:rFonts w:cstheme="minorHAnsi"/>
          <w:sz w:val="20"/>
          <w:szCs w:val="20"/>
        </w:rPr>
      </w:pPr>
      <w:hyperlink r:id="rId8"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proofErr w:type="gramStart"/>
      <w:r w:rsidR="006A7785" w:rsidRPr="004C310E">
        <w:rPr>
          <w:rFonts w:cstheme="minorHAnsi"/>
          <w:bCs/>
          <w:sz w:val="20"/>
          <w:szCs w:val="20"/>
        </w:rPr>
        <w:t>[</w:t>
      </w:r>
      <w:r w:rsidRPr="004C310E">
        <w:rPr>
          <w:rFonts w:cstheme="minorHAnsi"/>
          <w:bCs/>
          <w:sz w:val="20"/>
          <w:szCs w:val="20"/>
          <w:highlight w:val="yellow"/>
        </w:rPr>
        <w:t>….</w:t>
      </w:r>
      <w:proofErr w:type="gramEnd"/>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71B4982E" w14:textId="480B7D8D" w:rsidR="00A83124" w:rsidRDefault="006363BC" w:rsidP="00A83124">
            <w:pPr>
              <w:jc w:val="both"/>
              <w:rPr>
                <w:rFonts w:eastAsiaTheme="minorEastAsia"/>
                <w:sz w:val="20"/>
              </w:rPr>
            </w:pPr>
            <w:r w:rsidRPr="006363BC">
              <w:rPr>
                <w:rFonts w:cstheme="minorHAnsi"/>
                <w:sz w:val="20"/>
                <w:szCs w:val="20"/>
              </w:rPr>
              <w:t xml:space="preserve">Cette prestation est destinée à la Direction de la Communication et au service du service évènementiel et a pour objet </w:t>
            </w:r>
            <w:r>
              <w:rPr>
                <w:rFonts w:cstheme="minorHAnsi"/>
                <w:sz w:val="20"/>
                <w:szCs w:val="20"/>
              </w:rPr>
              <w:t>l’accompagnement et la mise en œuvre/</w:t>
            </w:r>
            <w:r w:rsidRPr="006363BC">
              <w:rPr>
                <w:rFonts w:cstheme="minorHAnsi"/>
                <w:sz w:val="20"/>
                <w:szCs w:val="20"/>
              </w:rPr>
              <w:t xml:space="preserve">organisation d’événements internes ou externes (conventions, colloques, </w:t>
            </w:r>
            <w:r w:rsidR="00B835DF">
              <w:rPr>
                <w:rFonts w:cstheme="minorHAnsi"/>
                <w:sz w:val="20"/>
                <w:szCs w:val="20"/>
              </w:rPr>
              <w:t>rencontres</w:t>
            </w:r>
            <w:r w:rsidRPr="006363BC">
              <w:rPr>
                <w:rFonts w:cstheme="minorHAnsi"/>
                <w:sz w:val="20"/>
                <w:szCs w:val="20"/>
              </w:rPr>
              <w:t>...) destinées à répondre aux besoins de la Caisse des dépôts et consignations</w:t>
            </w:r>
            <w:r>
              <w:rPr>
                <w:rFonts w:eastAsiaTheme="minorEastAsia"/>
                <w:sz w:val="20"/>
              </w:rPr>
              <w:t>.</w:t>
            </w:r>
          </w:p>
          <w:p w14:paraId="1CAD98C2" w14:textId="3F7726B3" w:rsidR="006363BC" w:rsidRPr="00D92205" w:rsidRDefault="006363BC" w:rsidP="00A83124">
            <w:pPr>
              <w:jc w:val="both"/>
              <w:rPr>
                <w:rFonts w:cstheme="minorHAnsi"/>
                <w:b/>
                <w:color w:val="FF0000"/>
                <w:sz w:val="20"/>
                <w:szCs w:val="20"/>
                <w:highlight w:val="yellow"/>
                <w:u w:val="single"/>
              </w:rPr>
            </w:pP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68634904" w14:textId="67798956" w:rsidR="00103476" w:rsidRPr="00452029" w:rsidRDefault="006363BC" w:rsidP="00452029">
            <w:pPr>
              <w:jc w:val="both"/>
              <w:rPr>
                <w:rFonts w:cstheme="minorHAnsi"/>
                <w:sz w:val="20"/>
                <w:szCs w:val="20"/>
                <w:u w:val="single"/>
              </w:rPr>
            </w:pPr>
            <w:r w:rsidRPr="006363BC">
              <w:rPr>
                <w:rFonts w:cstheme="minorHAnsi"/>
                <w:sz w:val="20"/>
                <w:szCs w:val="20"/>
              </w:rPr>
              <w:t>Les traitements seront rattachés à la fiche registre « DC003 Organiser</w:t>
            </w:r>
            <w:r>
              <w:rPr>
                <w:rFonts w:cstheme="minorHAnsi"/>
                <w:sz w:val="20"/>
                <w:szCs w:val="20"/>
              </w:rPr>
              <w:t xml:space="preserve"> des </w:t>
            </w:r>
            <w:r w:rsidRPr="006363BC">
              <w:rPr>
                <w:rFonts w:cstheme="minorHAnsi"/>
                <w:sz w:val="20"/>
                <w:szCs w:val="20"/>
              </w:rPr>
              <w:t>manifestations internes ou externes ».</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382749C4" w14:textId="77777777" w:rsidR="00E87FB7" w:rsidRPr="00E87FB7" w:rsidRDefault="001E77D4" w:rsidP="00A71A53">
            <w:pPr>
              <w:spacing w:line="259" w:lineRule="auto"/>
              <w:jc w:val="both"/>
              <w:rPr>
                <w:rFonts w:cstheme="minorHAnsi"/>
                <w:b/>
                <w:bCs/>
                <w:sz w:val="20"/>
                <w:szCs w:val="20"/>
                <w:u w:val="single"/>
              </w:rPr>
            </w:pPr>
            <w:r w:rsidRPr="00E87FB7">
              <w:rPr>
                <w:rFonts w:cstheme="minorHAnsi"/>
                <w:b/>
                <w:bCs/>
                <w:sz w:val="20"/>
                <w:szCs w:val="20"/>
                <w:u w:val="single"/>
              </w:rPr>
              <w:t>Données courantes :</w:t>
            </w:r>
            <w:r w:rsidR="00A71A53" w:rsidRPr="00E87FB7">
              <w:rPr>
                <w:rFonts w:cstheme="minorHAnsi"/>
                <w:b/>
                <w:bCs/>
                <w:sz w:val="20"/>
                <w:szCs w:val="20"/>
                <w:u w:val="single"/>
              </w:rPr>
              <w:t xml:space="preserve"> </w:t>
            </w:r>
          </w:p>
          <w:p w14:paraId="7FC94826" w14:textId="1A105055" w:rsidR="00A71A53" w:rsidRPr="00E87FB7" w:rsidRDefault="00E87FB7" w:rsidP="00E87FB7">
            <w:pPr>
              <w:pStyle w:val="Paragraphedeliste"/>
              <w:numPr>
                <w:ilvl w:val="0"/>
                <w:numId w:val="102"/>
              </w:numPr>
              <w:jc w:val="both"/>
              <w:rPr>
                <w:rFonts w:cstheme="minorHAnsi"/>
                <w:sz w:val="20"/>
                <w:szCs w:val="20"/>
              </w:rPr>
            </w:pPr>
            <w:r w:rsidRPr="00E87FB7">
              <w:rPr>
                <w:rFonts w:cstheme="minorHAnsi"/>
                <w:sz w:val="20"/>
                <w:szCs w:val="20"/>
              </w:rPr>
              <w:t xml:space="preserve">Données d’identification : </w:t>
            </w:r>
            <w:r w:rsidR="00A71A53" w:rsidRPr="00E87FB7">
              <w:rPr>
                <w:rFonts w:cstheme="minorHAnsi"/>
                <w:sz w:val="20"/>
                <w:szCs w:val="20"/>
              </w:rPr>
              <w:t>nom</w:t>
            </w:r>
            <w:r w:rsidRPr="00E87FB7">
              <w:rPr>
                <w:rFonts w:cstheme="minorHAnsi"/>
                <w:sz w:val="20"/>
                <w:szCs w:val="20"/>
              </w:rPr>
              <w:t xml:space="preserve">, </w:t>
            </w:r>
            <w:r w:rsidR="00A71A53" w:rsidRPr="00E87FB7">
              <w:rPr>
                <w:rFonts w:cstheme="minorHAnsi"/>
                <w:sz w:val="20"/>
                <w:szCs w:val="20"/>
              </w:rPr>
              <w:t>prénom</w:t>
            </w:r>
            <w:r w:rsidRPr="00E87FB7">
              <w:rPr>
                <w:rFonts w:cstheme="minorHAnsi"/>
                <w:sz w:val="20"/>
                <w:szCs w:val="20"/>
              </w:rPr>
              <w:t xml:space="preserve">, numéro de téléphone, adresse </w:t>
            </w:r>
            <w:proofErr w:type="gramStart"/>
            <w:r w:rsidRPr="00E87FB7">
              <w:rPr>
                <w:rFonts w:cstheme="minorHAnsi"/>
                <w:sz w:val="20"/>
                <w:szCs w:val="20"/>
              </w:rPr>
              <w:t>mail</w:t>
            </w:r>
            <w:proofErr w:type="gramEnd"/>
            <w:r w:rsidRPr="00E87FB7">
              <w:rPr>
                <w:rFonts w:cstheme="minorHAnsi"/>
                <w:sz w:val="20"/>
                <w:szCs w:val="20"/>
              </w:rPr>
              <w:t xml:space="preserve"> perso, adresse, région, tranche d'âge,</w:t>
            </w:r>
          </w:p>
          <w:p w14:paraId="506E073F" w14:textId="3A5A3AD7" w:rsidR="001E77D4" w:rsidRPr="00E87FB7" w:rsidRDefault="00E87FB7" w:rsidP="00E87FB7">
            <w:pPr>
              <w:pStyle w:val="Paragraphedeliste"/>
              <w:numPr>
                <w:ilvl w:val="0"/>
                <w:numId w:val="102"/>
              </w:numPr>
              <w:jc w:val="both"/>
              <w:rPr>
                <w:rFonts w:cstheme="minorHAnsi"/>
                <w:sz w:val="20"/>
                <w:szCs w:val="20"/>
              </w:rPr>
            </w:pPr>
            <w:r w:rsidRPr="00E87FB7">
              <w:rPr>
                <w:rFonts w:cstheme="minorHAnsi"/>
                <w:sz w:val="20"/>
                <w:szCs w:val="20"/>
              </w:rPr>
              <w:t xml:space="preserve">Données professionnelles : mail professionnel, adresse professionnelle, entité, direction-service, </w:t>
            </w:r>
            <w:r w:rsidR="00A71A53" w:rsidRPr="00E87FB7">
              <w:rPr>
                <w:rFonts w:cstheme="minorHAnsi"/>
                <w:sz w:val="20"/>
                <w:szCs w:val="20"/>
              </w:rPr>
              <w:t xml:space="preserve">cadre/non cadre, manager/non manager, </w:t>
            </w:r>
            <w:r w:rsidRPr="00E87FB7">
              <w:rPr>
                <w:rFonts w:cstheme="minorHAnsi"/>
                <w:sz w:val="20"/>
                <w:szCs w:val="20"/>
              </w:rPr>
              <w:t xml:space="preserve">poste occupé, </w:t>
            </w:r>
            <w:r w:rsidR="00B835DF">
              <w:rPr>
                <w:rFonts w:cstheme="minorHAnsi"/>
                <w:sz w:val="20"/>
                <w:szCs w:val="20"/>
              </w:rPr>
              <w:t>éventuellement matricule</w:t>
            </w:r>
          </w:p>
          <w:p w14:paraId="7B44DAA5" w14:textId="77777777" w:rsidR="00A71A53" w:rsidRPr="00E87FB7" w:rsidRDefault="00A71A53" w:rsidP="00A71A53">
            <w:pPr>
              <w:spacing w:line="259" w:lineRule="auto"/>
              <w:jc w:val="both"/>
              <w:rPr>
                <w:rFonts w:cstheme="minorHAnsi"/>
                <w:sz w:val="20"/>
                <w:szCs w:val="20"/>
              </w:rPr>
            </w:pPr>
          </w:p>
          <w:p w14:paraId="54F9BE0C" w14:textId="01EC38F3" w:rsidR="00A71A53" w:rsidRPr="004F2BC8" w:rsidRDefault="00B835DF" w:rsidP="00A71A53">
            <w:pPr>
              <w:spacing w:line="259" w:lineRule="auto"/>
              <w:jc w:val="both"/>
              <w:rPr>
                <w:rFonts w:cstheme="minorHAnsi"/>
                <w:b/>
                <w:bCs/>
                <w:sz w:val="20"/>
                <w:szCs w:val="20"/>
                <w:u w:val="single"/>
              </w:rPr>
            </w:pPr>
            <w:r w:rsidRPr="004F2BC8">
              <w:rPr>
                <w:rFonts w:cstheme="minorHAnsi"/>
                <w:b/>
                <w:bCs/>
                <w:sz w:val="20"/>
                <w:szCs w:val="20"/>
                <w:u w:val="single"/>
              </w:rPr>
              <w:t>Eventuellement des d</w:t>
            </w:r>
            <w:r w:rsidR="00A71A53" w:rsidRPr="004F2BC8">
              <w:rPr>
                <w:rFonts w:cstheme="minorHAnsi"/>
                <w:b/>
                <w:bCs/>
                <w:sz w:val="20"/>
                <w:szCs w:val="20"/>
                <w:u w:val="single"/>
              </w:rPr>
              <w:t>onnées de connexion </w:t>
            </w:r>
            <w:r w:rsidRPr="004F2BC8">
              <w:rPr>
                <w:rFonts w:cstheme="minorHAnsi"/>
                <w:b/>
                <w:bCs/>
                <w:sz w:val="20"/>
                <w:szCs w:val="20"/>
                <w:u w:val="single"/>
              </w:rPr>
              <w:t>pour quelques évènements</w:t>
            </w:r>
          </w:p>
          <w:p w14:paraId="56665DC4" w14:textId="32902C30" w:rsidR="00103476" w:rsidRPr="009D79AF" w:rsidRDefault="00103476" w:rsidP="00452029">
            <w:pPr>
              <w:spacing w:line="259" w:lineRule="auto"/>
              <w:jc w:val="both"/>
              <w:rPr>
                <w:rFonts w:cstheme="minorHAnsi"/>
                <w:bCs/>
                <w:i/>
                <w:sz w:val="18"/>
                <w:szCs w:val="18"/>
              </w:rPr>
            </w:pP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608687F4" w14:textId="590E5E70" w:rsidR="00103476" w:rsidRPr="006363BC" w:rsidRDefault="006363BC" w:rsidP="006363BC">
            <w:pPr>
              <w:spacing w:line="259" w:lineRule="auto"/>
              <w:jc w:val="both"/>
              <w:rPr>
                <w:rFonts w:cstheme="minorHAnsi"/>
                <w:b/>
                <w:sz w:val="20"/>
                <w:szCs w:val="20"/>
                <w:u w:val="single"/>
              </w:rPr>
            </w:pPr>
            <w:r w:rsidRPr="006363BC">
              <w:rPr>
                <w:rFonts w:cstheme="minorHAnsi"/>
                <w:sz w:val="20"/>
                <w:szCs w:val="20"/>
              </w:rPr>
              <w:t>Collaborateurs d</w:t>
            </w:r>
            <w:r w:rsidR="00B835DF">
              <w:rPr>
                <w:rFonts w:cstheme="minorHAnsi"/>
                <w:sz w:val="20"/>
                <w:szCs w:val="20"/>
              </w:rPr>
              <w:t xml:space="preserve">u Groupe </w:t>
            </w:r>
            <w:r w:rsidRPr="006363BC">
              <w:rPr>
                <w:rFonts w:cstheme="minorHAnsi"/>
                <w:sz w:val="20"/>
                <w:szCs w:val="20"/>
              </w:rPr>
              <w:t>CDC et personnes extérieures</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4A69779E" w14:textId="5A039F49" w:rsidR="009E4D71" w:rsidRPr="00542BD3" w:rsidRDefault="009E4D71" w:rsidP="009E4D71">
            <w:pPr>
              <w:pStyle w:val="Paragraphedeliste"/>
              <w:numPr>
                <w:ilvl w:val="0"/>
                <w:numId w:val="103"/>
              </w:numPr>
              <w:spacing w:before="100" w:beforeAutospacing="1" w:after="100" w:afterAutospacing="1"/>
              <w:rPr>
                <w:rFonts w:cstheme="minorHAnsi"/>
                <w:sz w:val="20"/>
                <w:szCs w:val="20"/>
              </w:rPr>
            </w:pPr>
            <w:r w:rsidRPr="00542BD3">
              <w:rPr>
                <w:rFonts w:cstheme="minorHAnsi"/>
                <w:sz w:val="20"/>
                <w:szCs w:val="20"/>
              </w:rPr>
              <w:t xml:space="preserve">Collecte des données </w:t>
            </w:r>
          </w:p>
          <w:p w14:paraId="4B1ED738" w14:textId="77777777" w:rsidR="009E4D71" w:rsidRPr="00542BD3" w:rsidRDefault="009E4D71" w:rsidP="009E4D71">
            <w:pPr>
              <w:pStyle w:val="Paragraphedeliste"/>
              <w:numPr>
                <w:ilvl w:val="0"/>
                <w:numId w:val="103"/>
              </w:numPr>
              <w:spacing w:before="100" w:beforeAutospacing="1" w:after="100" w:afterAutospacing="1"/>
              <w:rPr>
                <w:rFonts w:cstheme="minorHAnsi"/>
                <w:sz w:val="20"/>
                <w:szCs w:val="20"/>
              </w:rPr>
            </w:pPr>
            <w:r w:rsidRPr="00542BD3">
              <w:rPr>
                <w:rFonts w:cstheme="minorHAnsi"/>
                <w:sz w:val="20"/>
                <w:szCs w:val="20"/>
              </w:rPr>
              <w:t>Enregistrement et conservation des données</w:t>
            </w:r>
          </w:p>
          <w:p w14:paraId="6C8F8097" w14:textId="77777777" w:rsidR="009E4D71" w:rsidRPr="00542BD3" w:rsidRDefault="009E4D71" w:rsidP="009E4D71">
            <w:pPr>
              <w:pStyle w:val="Paragraphedeliste"/>
              <w:numPr>
                <w:ilvl w:val="0"/>
                <w:numId w:val="103"/>
              </w:numPr>
              <w:spacing w:before="100" w:beforeAutospacing="1" w:after="100" w:afterAutospacing="1"/>
              <w:rPr>
                <w:rFonts w:cstheme="minorHAnsi"/>
                <w:sz w:val="20"/>
                <w:szCs w:val="20"/>
              </w:rPr>
            </w:pPr>
            <w:r w:rsidRPr="00542BD3">
              <w:rPr>
                <w:rFonts w:cstheme="minorHAnsi"/>
                <w:sz w:val="20"/>
                <w:szCs w:val="20"/>
              </w:rPr>
              <w:t>Consultation</w:t>
            </w:r>
          </w:p>
          <w:p w14:paraId="016C31FE" w14:textId="58B1BD6C" w:rsidR="009E4D71" w:rsidRPr="00542BD3" w:rsidRDefault="009E4D71" w:rsidP="00542BD3">
            <w:pPr>
              <w:pStyle w:val="Paragraphedeliste"/>
              <w:numPr>
                <w:ilvl w:val="0"/>
                <w:numId w:val="103"/>
              </w:numPr>
              <w:spacing w:before="100" w:beforeAutospacing="1" w:after="100" w:afterAutospacing="1"/>
              <w:rPr>
                <w:rFonts w:cstheme="minorHAnsi"/>
                <w:sz w:val="20"/>
                <w:szCs w:val="20"/>
              </w:rPr>
            </w:pPr>
            <w:r w:rsidRPr="00542BD3">
              <w:rPr>
                <w:rFonts w:cstheme="minorHAnsi"/>
                <w:sz w:val="20"/>
                <w:szCs w:val="20"/>
              </w:rPr>
              <w:t xml:space="preserve">Utilisation des données </w:t>
            </w:r>
            <w:r w:rsidR="00B835DF">
              <w:rPr>
                <w:rFonts w:cstheme="minorHAnsi"/>
                <w:sz w:val="20"/>
                <w:szCs w:val="20"/>
              </w:rPr>
              <w:t xml:space="preserve">pour </w:t>
            </w:r>
            <w:r w:rsidRPr="00542BD3">
              <w:rPr>
                <w:rFonts w:cstheme="minorHAnsi"/>
                <w:sz w:val="20"/>
                <w:szCs w:val="20"/>
              </w:rPr>
              <w:t>l</w:t>
            </w:r>
            <w:r w:rsidR="00B835DF">
              <w:rPr>
                <w:rFonts w:cstheme="minorHAnsi"/>
                <w:sz w:val="20"/>
                <w:szCs w:val="20"/>
              </w:rPr>
              <w:t>a gestion, l</w:t>
            </w:r>
            <w:r w:rsidRPr="00542BD3">
              <w:rPr>
                <w:rFonts w:cstheme="minorHAnsi"/>
                <w:sz w:val="20"/>
                <w:szCs w:val="20"/>
              </w:rPr>
              <w:t xml:space="preserve">’accueil </w:t>
            </w:r>
            <w:r w:rsidR="00B835DF">
              <w:rPr>
                <w:rFonts w:cstheme="minorHAnsi"/>
                <w:sz w:val="20"/>
                <w:szCs w:val="20"/>
              </w:rPr>
              <w:t xml:space="preserve">et l’organisation </w:t>
            </w:r>
            <w:r w:rsidRPr="00542BD3">
              <w:rPr>
                <w:rFonts w:cstheme="minorHAnsi"/>
                <w:sz w:val="20"/>
                <w:szCs w:val="20"/>
              </w:rPr>
              <w:t xml:space="preserve">des </w:t>
            </w:r>
            <w:r w:rsidR="000456B3">
              <w:rPr>
                <w:rFonts w:cstheme="minorHAnsi"/>
                <w:sz w:val="20"/>
                <w:szCs w:val="20"/>
              </w:rPr>
              <w:t>évènements</w:t>
            </w:r>
          </w:p>
          <w:p w14:paraId="79334B9E" w14:textId="68F1DA31" w:rsidR="009E4D71" w:rsidRPr="00542BD3" w:rsidRDefault="009E4D71" w:rsidP="009E4D71">
            <w:pPr>
              <w:pStyle w:val="Paragraphedeliste"/>
              <w:numPr>
                <w:ilvl w:val="0"/>
                <w:numId w:val="103"/>
              </w:numPr>
              <w:spacing w:before="100" w:beforeAutospacing="1" w:after="100" w:afterAutospacing="1"/>
              <w:rPr>
                <w:rFonts w:cstheme="minorHAnsi"/>
                <w:sz w:val="20"/>
                <w:szCs w:val="20"/>
              </w:rPr>
            </w:pPr>
            <w:r w:rsidRPr="00542BD3">
              <w:rPr>
                <w:rFonts w:cstheme="minorHAnsi"/>
                <w:sz w:val="20"/>
                <w:szCs w:val="20"/>
              </w:rPr>
              <w:t>Analyse des données pour la réalisation de statistiques  </w:t>
            </w:r>
          </w:p>
          <w:p w14:paraId="12BB9BCF" w14:textId="07D3DC53" w:rsidR="00103476" w:rsidRPr="00542BD3" w:rsidRDefault="009E4D71" w:rsidP="00542BD3">
            <w:pPr>
              <w:pStyle w:val="Paragraphedeliste"/>
              <w:numPr>
                <w:ilvl w:val="0"/>
                <w:numId w:val="103"/>
              </w:numPr>
              <w:spacing w:before="100" w:beforeAutospacing="1" w:after="100" w:afterAutospacing="1"/>
              <w:rPr>
                <w:rFonts w:cstheme="minorHAnsi"/>
                <w:sz w:val="20"/>
                <w:szCs w:val="20"/>
              </w:rPr>
            </w:pPr>
            <w:r w:rsidRPr="00542BD3">
              <w:rPr>
                <w:rFonts w:cstheme="minorHAnsi"/>
                <w:sz w:val="20"/>
                <w:szCs w:val="20"/>
              </w:rPr>
              <w:t xml:space="preserve">Effacement </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1E0223DF" w14:textId="6EE5F440" w:rsidR="00103476" w:rsidRPr="00452029" w:rsidRDefault="00A71A53" w:rsidP="00452029">
            <w:pPr>
              <w:jc w:val="both"/>
              <w:rPr>
                <w:rFonts w:cstheme="minorHAnsi"/>
                <w:i/>
                <w:iCs/>
                <w:sz w:val="20"/>
                <w:szCs w:val="20"/>
              </w:rPr>
            </w:pPr>
            <w:r w:rsidRPr="00E87FB7">
              <w:rPr>
                <w:rFonts w:cstheme="minorHAnsi"/>
                <w:sz w:val="20"/>
                <w:szCs w:val="20"/>
              </w:rPr>
              <w:t xml:space="preserve">La </w:t>
            </w:r>
            <w:r w:rsidR="00103476" w:rsidRPr="00E87FB7">
              <w:rPr>
                <w:rFonts w:cstheme="minorHAnsi"/>
                <w:sz w:val="20"/>
                <w:szCs w:val="20"/>
              </w:rPr>
              <w:t>Durée du</w:t>
            </w:r>
            <w:r w:rsidR="00E067FE" w:rsidRPr="00E87FB7">
              <w:rPr>
                <w:rFonts w:cstheme="minorHAnsi"/>
                <w:sz w:val="20"/>
                <w:szCs w:val="20"/>
              </w:rPr>
              <w:t xml:space="preserve"> </w:t>
            </w:r>
            <w:r w:rsidRPr="00E87FB7">
              <w:rPr>
                <w:rFonts w:cstheme="minorHAnsi"/>
                <w:sz w:val="20"/>
                <w:szCs w:val="20"/>
              </w:rPr>
              <w:t>Marché</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47CAAD07" w:rsidR="00943341" w:rsidRPr="00D92205" w:rsidRDefault="00A70C73" w:rsidP="00461C79">
            <w:pPr>
              <w:jc w:val="both"/>
              <w:rPr>
                <w:rFonts w:cstheme="minorHAnsi"/>
                <w:sz w:val="17"/>
                <w:szCs w:val="17"/>
              </w:rPr>
            </w:pPr>
            <w:r w:rsidRPr="00452029">
              <w:rPr>
                <w:rFonts w:cstheme="minorHAnsi"/>
                <w:sz w:val="18"/>
                <w:szCs w:val="18"/>
              </w:rPr>
              <w:t xml:space="preserve"> </w:t>
            </w:r>
            <w:r w:rsidRPr="00D92205">
              <w:rPr>
                <w:rFonts w:cstheme="minorHAnsi"/>
                <w:b/>
                <w:bCs/>
                <w:sz w:val="17"/>
                <w:szCs w:val="17"/>
                <w:highlight w:val="cyan"/>
              </w:rPr>
              <w:t>OUI  [   ]   /   NON [   ]</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528E2C08" w14:textId="139F7356" w:rsidR="00C42DCD" w:rsidRPr="00E34EF5" w:rsidRDefault="00C42DCD" w:rsidP="00943341">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3ADE8058" w14:textId="5738613D" w:rsidR="00943341" w:rsidRDefault="009271A4" w:rsidP="00943341">
            <w:pPr>
              <w:rPr>
                <w:rFonts w:cstheme="minorHAnsi"/>
                <w:b/>
                <w:sz w:val="18"/>
                <w:szCs w:val="18"/>
                <w:u w:val="single"/>
              </w:rPr>
            </w:pPr>
            <w:r w:rsidRPr="00D92205">
              <w:rPr>
                <w:rFonts w:cstheme="minorHAnsi"/>
                <w:b/>
                <w:sz w:val="18"/>
                <w:szCs w:val="18"/>
                <w:highlight w:val="yellow"/>
                <w:u w:val="single"/>
              </w:rPr>
              <w:t>[compléter]</w:t>
            </w:r>
          </w:p>
          <w:p w14:paraId="28F73D19" w14:textId="77777777" w:rsidR="00943341" w:rsidRPr="00D92205" w:rsidRDefault="00943341" w:rsidP="00943341">
            <w:pPr>
              <w:rPr>
                <w:rFonts w:cstheme="minorHAnsi"/>
                <w:b/>
                <w:sz w:val="18"/>
                <w:szCs w:val="18"/>
                <w:u w:val="single"/>
              </w:rPr>
            </w:pPr>
          </w:p>
          <w:p w14:paraId="08D0E2FF" w14:textId="71CB5F20"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2"/>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r w:rsidRPr="00D92205">
              <w:rPr>
                <w:rFonts w:cstheme="minorHAnsi"/>
                <w:b/>
                <w:bCs/>
                <w:sz w:val="18"/>
                <w:szCs w:val="18"/>
                <w:highlight w:val="cyan"/>
              </w:rPr>
              <w:t>OUI  [   ]   /   NON [   ]</w:t>
            </w:r>
            <w:r w:rsidRPr="00D92205">
              <w:rPr>
                <w:rFonts w:cstheme="minorHAnsi"/>
                <w:sz w:val="18"/>
                <w:szCs w:val="18"/>
              </w:rPr>
              <w:t xml:space="preserve"> </w:t>
            </w:r>
          </w:p>
          <w:p w14:paraId="778C9677" w14:textId="77777777" w:rsidR="00943341" w:rsidRPr="00D92205" w:rsidRDefault="00943341" w:rsidP="00E34EF5">
            <w:pPr>
              <w:jc w:val="both"/>
              <w:rPr>
                <w:sz w:val="18"/>
                <w:szCs w:val="18"/>
              </w:rPr>
            </w:pPr>
          </w:p>
          <w:p w14:paraId="2261606F" w14:textId="1C32D2DC"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 xml:space="preserve">Data </w:t>
            </w:r>
            <w:proofErr w:type="spellStart"/>
            <w:r w:rsidR="00F96CA9" w:rsidRPr="00357536">
              <w:rPr>
                <w:i/>
                <w:iCs/>
                <w:sz w:val="18"/>
                <w:szCs w:val="18"/>
              </w:rPr>
              <w:t>Privacy</w:t>
            </w:r>
            <w:proofErr w:type="spellEnd"/>
            <w:r w:rsidR="00F96CA9" w:rsidRPr="00357536">
              <w:rPr>
                <w:i/>
                <w:iCs/>
                <w:sz w:val="18"/>
                <w:szCs w:val="18"/>
              </w:rPr>
              <w:t xml:space="preserve">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r w:rsidR="00F96CA9" w:rsidRPr="00D92205">
              <w:rPr>
                <w:b/>
                <w:bCs/>
                <w:sz w:val="18"/>
                <w:szCs w:val="18"/>
                <w:highlight w:val="cyan"/>
              </w:rPr>
              <w:t>OUI  [   ]   /   NON [   ]</w:t>
            </w:r>
          </w:p>
          <w:p w14:paraId="16A01355" w14:textId="77777777" w:rsidR="00943341" w:rsidRPr="00D92205" w:rsidRDefault="00943341" w:rsidP="00D92205">
            <w:pPr>
              <w:rPr>
                <w:sz w:val="18"/>
                <w:szCs w:val="18"/>
              </w:rPr>
            </w:pPr>
          </w:p>
          <w:p w14:paraId="1563852B" w14:textId="6267652D"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 xml:space="preserve">: </w:t>
            </w:r>
            <w:r w:rsidRPr="00D92205">
              <w:rPr>
                <w:rFonts w:cstheme="minorHAnsi"/>
                <w:b/>
                <w:bCs/>
                <w:sz w:val="18"/>
                <w:szCs w:val="18"/>
                <w:highlight w:val="cyan"/>
              </w:rPr>
              <w:t>OUI  [   ]   /   NON</w:t>
            </w:r>
            <w:r w:rsidR="00231EC3" w:rsidRPr="00D92205">
              <w:rPr>
                <w:rFonts w:cstheme="minorHAnsi"/>
                <w:b/>
                <w:bCs/>
                <w:sz w:val="18"/>
                <w:szCs w:val="18"/>
                <w:highlight w:val="cyan"/>
              </w:rPr>
              <w:t xml:space="preserve"> </w:t>
            </w:r>
            <w:r w:rsidRPr="00D92205">
              <w:rPr>
                <w:rFonts w:cstheme="minorHAnsi"/>
                <w:b/>
                <w:bCs/>
                <w:sz w:val="18"/>
                <w:szCs w:val="18"/>
                <w:highlight w:val="cyan"/>
              </w:rPr>
              <w:t>[   ]</w:t>
            </w:r>
            <w:r w:rsidRPr="00D92205">
              <w:rPr>
                <w:rFonts w:cstheme="minorHAnsi"/>
                <w:sz w:val="18"/>
                <w:szCs w:val="18"/>
              </w:rPr>
              <w:t xml:space="preserve">    </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hors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lastRenderedPageBreak/>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3"/>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0" w:name="_Toc160105161"/>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0"/>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pseudonymisation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1"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1"/>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4"/>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si applicable</w:t>
            </w:r>
            <w:r w:rsidRPr="00452029">
              <w:rPr>
                <w:rFonts w:cstheme="minorHAnsi"/>
                <w:sz w:val="16"/>
                <w:szCs w:val="16"/>
              </w:rPr>
              <w:t xml:space="preserve">  (ex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proofErr w:type="gramStart"/>
            <w:r w:rsidR="000B12DB">
              <w:rPr>
                <w:rFonts w:cstheme="minorHAnsi"/>
                <w:i/>
                <w:iCs/>
                <w:sz w:val="16"/>
                <w:szCs w:val="16"/>
              </w:rPr>
              <w:t>d’e-mails</w:t>
            </w:r>
            <w:proofErr w:type="gramEnd"/>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r w:rsidRPr="00C80862">
        <w:rPr>
          <w:rFonts w:cstheme="minorHAnsi"/>
          <w:i/>
          <w:iCs/>
          <w:sz w:val="20"/>
          <w:szCs w:val="20"/>
        </w:rPr>
        <w:t>via</w:t>
      </w:r>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r>
        <w:rPr>
          <w:rFonts w:cstheme="minorHAnsi"/>
          <w:sz w:val="20"/>
          <w:szCs w:val="20"/>
        </w:rPr>
        <w:t xml:space="preserve">à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2"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2"/>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3"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4"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4"/>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5"/>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6"/>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7"/>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5" w:name="_Hlk162540592"/>
      <w:r w:rsidR="007B35F8" w:rsidRPr="00855C3E">
        <w:rPr>
          <w:sz w:val="20"/>
          <w:szCs w:val="20"/>
        </w:rPr>
        <w:t xml:space="preserve">CCT Transferts – module 3 </w:t>
      </w:r>
      <w:bookmarkEnd w:id="35"/>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8"/>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9"/>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3"/>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1A8F3" w14:textId="77777777" w:rsidR="00451710" w:rsidRDefault="00451710" w:rsidP="006F5157">
      <w:pPr>
        <w:spacing w:after="0" w:line="240" w:lineRule="auto"/>
      </w:pPr>
      <w:r>
        <w:separator/>
      </w:r>
    </w:p>
  </w:endnote>
  <w:endnote w:type="continuationSeparator" w:id="0">
    <w:p w14:paraId="76F5BCFA" w14:textId="77777777" w:rsidR="00451710" w:rsidRDefault="00451710"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39821" w14:textId="77777777" w:rsidR="00451710" w:rsidRDefault="00451710" w:rsidP="006F5157">
      <w:pPr>
        <w:spacing w:after="0" w:line="240" w:lineRule="auto"/>
      </w:pPr>
      <w:r>
        <w:separator/>
      </w:r>
    </w:p>
  </w:footnote>
  <w:footnote w:type="continuationSeparator" w:id="0">
    <w:p w14:paraId="202CAE9C" w14:textId="77777777" w:rsidR="00451710" w:rsidRDefault="00451710"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3">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9" w:name="_Hlk164875551"/>
      <w:r>
        <w:rPr>
          <w:rFonts w:cstheme="minorHAnsi"/>
          <w:color w:val="333333"/>
          <w:sz w:val="17"/>
          <w:szCs w:val="17"/>
          <w:shd w:val="clear" w:color="auto" w:fill="FFFFFF"/>
        </w:rPr>
        <w:t xml:space="preserve">accessibles à l’adresse suivante : </w:t>
      </w:r>
      <w:hyperlink r:id="rId3"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9"/>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4">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8">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9">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C26643B"/>
    <w:multiLevelType w:val="hybridMultilevel"/>
    <w:tmpl w:val="FE7C9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2"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4"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5"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0"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8"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0"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5"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6C0B2001"/>
    <w:multiLevelType w:val="hybridMultilevel"/>
    <w:tmpl w:val="CE6ED80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6"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0"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2"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2"/>
  </w:num>
  <w:num w:numId="4" w16cid:durableId="100106119">
    <w:abstractNumId w:val="2"/>
  </w:num>
  <w:num w:numId="5" w16cid:durableId="66617201">
    <w:abstractNumId w:val="17"/>
  </w:num>
  <w:num w:numId="6" w16cid:durableId="368073430">
    <w:abstractNumId w:val="11"/>
  </w:num>
  <w:num w:numId="7" w16cid:durableId="40904703">
    <w:abstractNumId w:val="50"/>
  </w:num>
  <w:num w:numId="8" w16cid:durableId="130248672">
    <w:abstractNumId w:val="80"/>
  </w:num>
  <w:num w:numId="9" w16cid:durableId="293412950">
    <w:abstractNumId w:val="16"/>
  </w:num>
  <w:num w:numId="10" w16cid:durableId="2112161915">
    <w:abstractNumId w:val="28"/>
  </w:num>
  <w:num w:numId="11" w16cid:durableId="1955479934">
    <w:abstractNumId w:val="89"/>
  </w:num>
  <w:num w:numId="12" w16cid:durableId="1275401641">
    <w:abstractNumId w:val="34"/>
  </w:num>
  <w:num w:numId="13" w16cid:durableId="208297451">
    <w:abstractNumId w:val="10"/>
  </w:num>
  <w:num w:numId="14" w16cid:durableId="622618649">
    <w:abstractNumId w:val="61"/>
  </w:num>
  <w:num w:numId="15" w16cid:durableId="1243182369">
    <w:abstractNumId w:val="54"/>
  </w:num>
  <w:num w:numId="16" w16cid:durableId="1398625178">
    <w:abstractNumId w:val="0"/>
  </w:num>
  <w:num w:numId="17" w16cid:durableId="1873959320">
    <w:abstractNumId w:val="65"/>
  </w:num>
  <w:num w:numId="18" w16cid:durableId="1440296132">
    <w:abstractNumId w:val="35"/>
  </w:num>
  <w:num w:numId="19" w16cid:durableId="1241988562">
    <w:abstractNumId w:val="58"/>
  </w:num>
  <w:num w:numId="20" w16cid:durableId="696082934">
    <w:abstractNumId w:val="49"/>
  </w:num>
  <w:num w:numId="21" w16cid:durableId="761606446">
    <w:abstractNumId w:val="63"/>
  </w:num>
  <w:num w:numId="22" w16cid:durableId="1528592923">
    <w:abstractNumId w:val="96"/>
  </w:num>
  <w:num w:numId="23" w16cid:durableId="209732561">
    <w:abstractNumId w:val="5"/>
  </w:num>
  <w:num w:numId="24" w16cid:durableId="813760979">
    <w:abstractNumId w:val="69"/>
  </w:num>
  <w:num w:numId="25" w16cid:durableId="2132823762">
    <w:abstractNumId w:val="68"/>
  </w:num>
  <w:num w:numId="26" w16cid:durableId="1680542450">
    <w:abstractNumId w:val="56"/>
  </w:num>
  <w:num w:numId="27" w16cid:durableId="1018967415">
    <w:abstractNumId w:val="73"/>
  </w:num>
  <w:num w:numId="28" w16cid:durableId="1782340786">
    <w:abstractNumId w:val="40"/>
  </w:num>
  <w:num w:numId="29" w16cid:durableId="1958632599">
    <w:abstractNumId w:val="52"/>
  </w:num>
  <w:num w:numId="30" w16cid:durableId="1449545290">
    <w:abstractNumId w:val="47"/>
  </w:num>
  <w:num w:numId="31" w16cid:durableId="2055689273">
    <w:abstractNumId w:val="79"/>
  </w:num>
  <w:num w:numId="32" w16cid:durableId="1920291230">
    <w:abstractNumId w:val="101"/>
  </w:num>
  <w:num w:numId="33" w16cid:durableId="643779450">
    <w:abstractNumId w:val="18"/>
  </w:num>
  <w:num w:numId="34" w16cid:durableId="1776513234">
    <w:abstractNumId w:val="38"/>
  </w:num>
  <w:num w:numId="35" w16cid:durableId="1294870141">
    <w:abstractNumId w:val="42"/>
  </w:num>
  <w:num w:numId="36" w16cid:durableId="1015234180">
    <w:abstractNumId w:val="14"/>
  </w:num>
  <w:num w:numId="37" w16cid:durableId="55130114">
    <w:abstractNumId w:val="84"/>
  </w:num>
  <w:num w:numId="38" w16cid:durableId="1035883137">
    <w:abstractNumId w:val="43"/>
  </w:num>
  <w:num w:numId="39" w16cid:durableId="2020502771">
    <w:abstractNumId w:val="74"/>
  </w:num>
  <w:num w:numId="40" w16cid:durableId="1851404422">
    <w:abstractNumId w:val="67"/>
  </w:num>
  <w:num w:numId="41" w16cid:durableId="745541236">
    <w:abstractNumId w:val="57"/>
  </w:num>
  <w:num w:numId="42" w16cid:durableId="1701278354">
    <w:abstractNumId w:val="29"/>
  </w:num>
  <w:num w:numId="43" w16cid:durableId="2137328851">
    <w:abstractNumId w:val="32"/>
  </w:num>
  <w:num w:numId="44" w16cid:durableId="1611085350">
    <w:abstractNumId w:val="36"/>
  </w:num>
  <w:num w:numId="45" w16cid:durableId="169610300">
    <w:abstractNumId w:val="72"/>
  </w:num>
  <w:num w:numId="46" w16cid:durableId="510224157">
    <w:abstractNumId w:val="13"/>
  </w:num>
  <w:num w:numId="47" w16cid:durableId="289670155">
    <w:abstractNumId w:val="83"/>
  </w:num>
  <w:num w:numId="48" w16cid:durableId="914583439">
    <w:abstractNumId w:val="66"/>
  </w:num>
  <w:num w:numId="49" w16cid:durableId="1395471696">
    <w:abstractNumId w:val="100"/>
  </w:num>
  <w:num w:numId="50" w16cid:durableId="611060444">
    <w:abstractNumId w:val="6"/>
  </w:num>
  <w:num w:numId="51" w16cid:durableId="1564019714">
    <w:abstractNumId w:val="25"/>
  </w:num>
  <w:num w:numId="52" w16cid:durableId="2018654521">
    <w:abstractNumId w:val="78"/>
  </w:num>
  <w:num w:numId="53" w16cid:durableId="1612587041">
    <w:abstractNumId w:val="81"/>
  </w:num>
  <w:num w:numId="54" w16cid:durableId="1847864772">
    <w:abstractNumId w:val="90"/>
  </w:num>
  <w:num w:numId="55" w16cid:durableId="1021199975">
    <w:abstractNumId w:val="9"/>
  </w:num>
  <w:num w:numId="56" w16cid:durableId="2094085599">
    <w:abstractNumId w:val="51"/>
  </w:num>
  <w:num w:numId="57" w16cid:durableId="1879395154">
    <w:abstractNumId w:val="76"/>
  </w:num>
  <w:num w:numId="58" w16cid:durableId="1085031833">
    <w:abstractNumId w:val="8"/>
  </w:num>
  <w:num w:numId="59" w16cid:durableId="1319310168">
    <w:abstractNumId w:val="48"/>
  </w:num>
  <w:num w:numId="60" w16cid:durableId="372968689">
    <w:abstractNumId w:val="44"/>
  </w:num>
  <w:num w:numId="61" w16cid:durableId="1598052128">
    <w:abstractNumId w:val="91"/>
  </w:num>
  <w:num w:numId="62" w16cid:durableId="311564762">
    <w:abstractNumId w:val="45"/>
  </w:num>
  <w:num w:numId="63" w16cid:durableId="1564219956">
    <w:abstractNumId w:val="97"/>
  </w:num>
  <w:num w:numId="64" w16cid:durableId="1240871798">
    <w:abstractNumId w:val="85"/>
  </w:num>
  <w:num w:numId="65" w16cid:durableId="1038507853">
    <w:abstractNumId w:val="46"/>
  </w:num>
  <w:num w:numId="66" w16cid:durableId="711924739">
    <w:abstractNumId w:val="53"/>
  </w:num>
  <w:num w:numId="67" w16cid:durableId="1072390450">
    <w:abstractNumId w:val="75"/>
  </w:num>
  <w:num w:numId="68" w16cid:durableId="650718916">
    <w:abstractNumId w:val="70"/>
  </w:num>
  <w:num w:numId="69" w16cid:durableId="259027228">
    <w:abstractNumId w:val="33"/>
  </w:num>
  <w:num w:numId="70" w16cid:durableId="521746409">
    <w:abstractNumId w:val="87"/>
  </w:num>
  <w:num w:numId="71" w16cid:durableId="1642610408">
    <w:abstractNumId w:val="86"/>
  </w:num>
  <w:num w:numId="72" w16cid:durableId="1645815816">
    <w:abstractNumId w:val="26"/>
  </w:num>
  <w:num w:numId="73" w16cid:durableId="1359548465">
    <w:abstractNumId w:val="21"/>
  </w:num>
  <w:num w:numId="74" w16cid:durableId="1322344471">
    <w:abstractNumId w:val="27"/>
  </w:num>
  <w:num w:numId="75" w16cid:durableId="1921064339">
    <w:abstractNumId w:val="77"/>
  </w:num>
  <w:num w:numId="76" w16cid:durableId="161900139">
    <w:abstractNumId w:val="64"/>
  </w:num>
  <w:num w:numId="77" w16cid:durableId="214703921">
    <w:abstractNumId w:val="23"/>
  </w:num>
  <w:num w:numId="78" w16cid:durableId="317853913">
    <w:abstractNumId w:val="15"/>
  </w:num>
  <w:num w:numId="79" w16cid:durableId="418141768">
    <w:abstractNumId w:val="7"/>
  </w:num>
  <w:num w:numId="80" w16cid:durableId="2117942878">
    <w:abstractNumId w:val="95"/>
  </w:num>
  <w:num w:numId="81" w16cid:durableId="227040620">
    <w:abstractNumId w:val="59"/>
  </w:num>
  <w:num w:numId="82" w16cid:durableId="238558043">
    <w:abstractNumId w:val="20"/>
  </w:num>
  <w:num w:numId="83" w16cid:durableId="1555001007">
    <w:abstractNumId w:val="12"/>
  </w:num>
  <w:num w:numId="84" w16cid:durableId="1698895351">
    <w:abstractNumId w:val="92"/>
  </w:num>
  <w:num w:numId="85" w16cid:durableId="204635537">
    <w:abstractNumId w:val="1"/>
  </w:num>
  <w:num w:numId="86" w16cid:durableId="185339333">
    <w:abstractNumId w:val="82"/>
  </w:num>
  <w:num w:numId="87" w16cid:durableId="2124225558">
    <w:abstractNumId w:val="30"/>
  </w:num>
  <w:num w:numId="88" w16cid:durableId="779027641">
    <w:abstractNumId w:val="55"/>
  </w:num>
  <w:num w:numId="89" w16cid:durableId="416752988">
    <w:abstractNumId w:val="102"/>
  </w:num>
  <w:num w:numId="90" w16cid:durableId="1469518990">
    <w:abstractNumId w:val="99"/>
  </w:num>
  <w:num w:numId="91" w16cid:durableId="1341932611">
    <w:abstractNumId w:val="3"/>
  </w:num>
  <w:num w:numId="92" w16cid:durableId="1063453558">
    <w:abstractNumId w:val="41"/>
  </w:num>
  <w:num w:numId="93" w16cid:durableId="492569533">
    <w:abstractNumId w:val="4"/>
  </w:num>
  <w:num w:numId="94" w16cid:durableId="1178227408">
    <w:abstractNumId w:val="39"/>
  </w:num>
  <w:num w:numId="95" w16cid:durableId="989792465">
    <w:abstractNumId w:val="98"/>
  </w:num>
  <w:num w:numId="96" w16cid:durableId="750129303">
    <w:abstractNumId w:val="31"/>
  </w:num>
  <w:num w:numId="97" w16cid:durableId="1751148697">
    <w:abstractNumId w:val="94"/>
  </w:num>
  <w:num w:numId="98" w16cid:durableId="2025667598">
    <w:abstractNumId w:val="22"/>
  </w:num>
  <w:num w:numId="99" w16cid:durableId="740713684">
    <w:abstractNumId w:val="93"/>
  </w:num>
  <w:num w:numId="100" w16cid:durableId="895244199">
    <w:abstractNumId w:val="71"/>
  </w:num>
  <w:num w:numId="101" w16cid:durableId="1196384538">
    <w:abstractNumId w:val="60"/>
  </w:num>
  <w:num w:numId="102" w16cid:durableId="1160585295">
    <w:abstractNumId w:val="37"/>
  </w:num>
  <w:num w:numId="103" w16cid:durableId="2098018907">
    <w:abstractNumId w:val="88"/>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6B3"/>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7D4"/>
    <w:rsid w:val="001E7A51"/>
    <w:rsid w:val="001E7DDA"/>
    <w:rsid w:val="001F01E5"/>
    <w:rsid w:val="001F220D"/>
    <w:rsid w:val="001F4A5D"/>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071"/>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8B8"/>
    <w:rsid w:val="004D3B3D"/>
    <w:rsid w:val="004D4C18"/>
    <w:rsid w:val="004D5E3B"/>
    <w:rsid w:val="004D63EA"/>
    <w:rsid w:val="004E0509"/>
    <w:rsid w:val="004E2622"/>
    <w:rsid w:val="004F057E"/>
    <w:rsid w:val="004F0681"/>
    <w:rsid w:val="004F2BC8"/>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2BD3"/>
    <w:rsid w:val="00544BBA"/>
    <w:rsid w:val="0054628F"/>
    <w:rsid w:val="00547309"/>
    <w:rsid w:val="0055376C"/>
    <w:rsid w:val="0055459F"/>
    <w:rsid w:val="005563B2"/>
    <w:rsid w:val="0055649E"/>
    <w:rsid w:val="00557223"/>
    <w:rsid w:val="0056426D"/>
    <w:rsid w:val="00567837"/>
    <w:rsid w:val="00573988"/>
    <w:rsid w:val="005747D3"/>
    <w:rsid w:val="00580494"/>
    <w:rsid w:val="0058205F"/>
    <w:rsid w:val="00584E69"/>
    <w:rsid w:val="0058602F"/>
    <w:rsid w:val="00591DC4"/>
    <w:rsid w:val="005938EE"/>
    <w:rsid w:val="0059694C"/>
    <w:rsid w:val="005A4C1D"/>
    <w:rsid w:val="005A5F12"/>
    <w:rsid w:val="005B152F"/>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0978"/>
    <w:rsid w:val="00632457"/>
    <w:rsid w:val="00634414"/>
    <w:rsid w:val="006363BC"/>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6200"/>
    <w:rsid w:val="00742F70"/>
    <w:rsid w:val="00745492"/>
    <w:rsid w:val="007463E9"/>
    <w:rsid w:val="00753B99"/>
    <w:rsid w:val="00753E54"/>
    <w:rsid w:val="0075482E"/>
    <w:rsid w:val="00757C6B"/>
    <w:rsid w:val="00761D90"/>
    <w:rsid w:val="007651D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802340"/>
    <w:rsid w:val="00803E1C"/>
    <w:rsid w:val="00804289"/>
    <w:rsid w:val="00806290"/>
    <w:rsid w:val="00806948"/>
    <w:rsid w:val="0082401F"/>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E4D71"/>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1A53"/>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835DF"/>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87FB7"/>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 w:type="paragraph" w:customStyle="1" w:styleId="Default">
    <w:name w:val="Default"/>
    <w:rsid w:val="00A71A53"/>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po@caissedesdepots.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17</Pages>
  <Words>8362</Words>
  <Characters>45991</Characters>
  <Application>Microsoft Office Word</Application>
  <DocSecurity>0</DocSecurity>
  <Lines>383</Lines>
  <Paragraphs>108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Madouni, Nadia</cp:lastModifiedBy>
  <cp:revision>7</cp:revision>
  <cp:lastPrinted>2024-04-25T17:33:00Z</cp:lastPrinted>
  <dcterms:created xsi:type="dcterms:W3CDTF">2024-08-13T14:16:00Z</dcterms:created>
  <dcterms:modified xsi:type="dcterms:W3CDTF">2025-06-26T07:00:00Z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